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4F" w:rsidRPr="00305B4F" w:rsidRDefault="00305B4F" w:rsidP="00305B4F">
      <w:pPr>
        <w:pStyle w:val="31"/>
        <w:tabs>
          <w:tab w:val="left" w:pos="1865"/>
        </w:tabs>
        <w:spacing w:before="68" w:line="352" w:lineRule="auto"/>
        <w:ind w:left="1385" w:right="704"/>
      </w:pPr>
      <w:bookmarkStart w:id="0" w:name="_GoBack"/>
      <w:bookmarkEnd w:id="0"/>
      <w:r>
        <w:t>Организация</w:t>
      </w:r>
      <w:r w:rsidRPr="00305B4F">
        <w:rPr>
          <w:spacing w:val="-11"/>
        </w:rPr>
        <w:t xml:space="preserve"> </w:t>
      </w:r>
      <w:r>
        <w:t>развивающей</w:t>
      </w:r>
      <w:r w:rsidRPr="00305B4F">
        <w:rPr>
          <w:spacing w:val="-8"/>
        </w:rPr>
        <w:t xml:space="preserve"> </w:t>
      </w:r>
      <w:r>
        <w:t>предметно-пространственной</w:t>
      </w:r>
      <w:r w:rsidRPr="00305B4F">
        <w:rPr>
          <w:spacing w:val="-8"/>
        </w:rPr>
        <w:t xml:space="preserve"> </w:t>
      </w:r>
      <w:r w:rsidRPr="00305B4F">
        <w:rPr>
          <w:spacing w:val="-2"/>
        </w:rPr>
        <w:t>среды</w:t>
      </w:r>
      <w:r>
        <w:rPr>
          <w:spacing w:val="-2"/>
        </w:rPr>
        <w:t>.</w:t>
      </w:r>
    </w:p>
    <w:p w:rsidR="00305B4F" w:rsidRPr="00305B4F" w:rsidRDefault="00305B4F" w:rsidP="00305B4F">
      <w:pPr>
        <w:pStyle w:val="31"/>
        <w:tabs>
          <w:tab w:val="left" w:pos="1865"/>
        </w:tabs>
        <w:spacing w:before="68" w:line="352" w:lineRule="auto"/>
        <w:ind w:left="1385" w:right="704"/>
      </w:pPr>
      <w:r w:rsidRPr="00305B4F">
        <w:t>Основные требования к социокультурной среде, предметной развивающей среде и предметно-пространственной</w:t>
      </w:r>
      <w:r w:rsidRPr="00305B4F">
        <w:rPr>
          <w:spacing w:val="-1"/>
        </w:rPr>
        <w:t xml:space="preserve"> </w:t>
      </w:r>
      <w:r w:rsidRPr="00305B4F">
        <w:t>организации</w:t>
      </w:r>
      <w:r w:rsidRPr="00305B4F">
        <w:rPr>
          <w:spacing w:val="-3"/>
        </w:rPr>
        <w:t xml:space="preserve"> </w:t>
      </w:r>
      <w:r w:rsidRPr="00305B4F">
        <w:t>развития</w:t>
      </w:r>
      <w:r w:rsidRPr="00305B4F">
        <w:rPr>
          <w:spacing w:val="-1"/>
        </w:rPr>
        <w:t xml:space="preserve"> </w:t>
      </w:r>
      <w:r w:rsidRPr="00305B4F">
        <w:t>и</w:t>
      </w:r>
      <w:r w:rsidRPr="00305B4F">
        <w:rPr>
          <w:spacing w:val="-1"/>
        </w:rPr>
        <w:t xml:space="preserve"> </w:t>
      </w:r>
      <w:r w:rsidRPr="00305B4F">
        <w:t>воспитания</w:t>
      </w:r>
      <w:r w:rsidRPr="00305B4F">
        <w:rPr>
          <w:spacing w:val="-1"/>
        </w:rPr>
        <w:t xml:space="preserve"> </w:t>
      </w:r>
      <w:r w:rsidRPr="00305B4F">
        <w:t>слабовидящего</w:t>
      </w:r>
      <w:r w:rsidRPr="00305B4F">
        <w:rPr>
          <w:spacing w:val="-1"/>
        </w:rPr>
        <w:t xml:space="preserve"> </w:t>
      </w:r>
      <w:r w:rsidRPr="00305B4F">
        <w:t>ребенка</w:t>
      </w:r>
    </w:p>
    <w:p w:rsidR="00305B4F" w:rsidRDefault="00305B4F" w:rsidP="00305B4F">
      <w:pPr>
        <w:pStyle w:val="a3"/>
        <w:spacing w:before="101" w:line="352" w:lineRule="auto"/>
        <w:ind w:right="698"/>
      </w:pPr>
      <w:r>
        <w:t>РППС группы комбинированной направленности организована с учетом принципа коррекционно-компенсаторной направленности для удовлетворения слабовидящим ребенком особых образовательных потребностей.</w:t>
      </w:r>
    </w:p>
    <w:p w:rsidR="00305B4F" w:rsidRDefault="00305B4F" w:rsidP="00305B4F">
      <w:pPr>
        <w:pStyle w:val="a3"/>
        <w:spacing w:before="1" w:line="352" w:lineRule="auto"/>
        <w:ind w:right="694"/>
      </w:pPr>
      <w:r>
        <w:t>В качестве ориентиров для подбора материалов и оборудования выступили общие закономерности развития ребенка на каждом возрастном этапе, индивидуально-типологические особенности и особые образовательные потребности слабовидящего дошкольника.</w:t>
      </w:r>
    </w:p>
    <w:p w:rsidR="00305B4F" w:rsidRDefault="00305B4F" w:rsidP="00305B4F">
      <w:pPr>
        <w:pStyle w:val="a3"/>
        <w:spacing w:before="1" w:line="352" w:lineRule="auto"/>
        <w:ind w:right="699"/>
      </w:pPr>
      <w:r>
        <w:t>РППС группы обеспечивает слабовидящему ребенку возможность отражения: разнообразного предметно-объектного окружения, выполняющего роль визуального стимульного материала, побуждающего его обогащать зрительный опыт; предметов в разнообразных глубинных зонах пространства,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вдаль.</w:t>
      </w:r>
    </w:p>
    <w:p w:rsidR="00305B4F" w:rsidRDefault="00305B4F" w:rsidP="00305B4F">
      <w:pPr>
        <w:pStyle w:val="a3"/>
        <w:spacing w:line="274" w:lineRule="exact"/>
        <w:ind w:left="1385" w:firstLine="0"/>
      </w:pPr>
      <w:r>
        <w:t>Материалы,</w:t>
      </w:r>
      <w:r>
        <w:rPr>
          <w:spacing w:val="-4"/>
        </w:rPr>
        <w:t xml:space="preserve"> </w:t>
      </w:r>
      <w:proofErr w:type="gramStart"/>
      <w:r>
        <w:t>игрушки</w:t>
      </w:r>
      <w:proofErr w:type="gramEnd"/>
      <w:r>
        <w:rPr>
          <w:spacing w:val="-4"/>
        </w:rPr>
        <w:t xml:space="preserve"> </w:t>
      </w:r>
      <w:r>
        <w:t>подобранные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группе:</w:t>
      </w:r>
    </w:p>
    <w:p w:rsidR="00305B4F" w:rsidRDefault="00305B4F" w:rsidP="00305B4F">
      <w:pPr>
        <w:pStyle w:val="a3"/>
        <w:spacing w:before="134" w:line="350" w:lineRule="auto"/>
        <w:ind w:right="697"/>
      </w:pPr>
      <w:r>
        <w:t xml:space="preserve">-отвечают </w:t>
      </w:r>
      <w:proofErr w:type="spellStart"/>
      <w:r>
        <w:t>коррекционно</w:t>
      </w:r>
      <w:proofErr w:type="spellEnd"/>
      <w:r>
        <w:t>–развивающим, компенсаторным требованиям, безопасны для зрения, органов осязания слабовидящего ребенка;</w:t>
      </w:r>
    </w:p>
    <w:p w:rsidR="00305B4F" w:rsidRDefault="00305B4F" w:rsidP="00305B4F">
      <w:pPr>
        <w:pStyle w:val="a5"/>
        <w:numPr>
          <w:ilvl w:val="0"/>
          <w:numId w:val="1"/>
        </w:numPr>
        <w:tabs>
          <w:tab w:val="left" w:pos="2093"/>
        </w:tabs>
        <w:spacing w:before="8" w:line="352" w:lineRule="auto"/>
        <w:ind w:right="703" w:firstLine="698"/>
        <w:rPr>
          <w:sz w:val="24"/>
        </w:rPr>
      </w:pPr>
      <w:r>
        <w:rPr>
          <w:sz w:val="24"/>
        </w:rPr>
        <w:t>привлекательны для слабовидящего ребенка, актуальны для его зрительного, слухового, осязательного восприятия, способны развивать и обогащать зрительные ощущения;</w:t>
      </w:r>
    </w:p>
    <w:p w:rsidR="00305B4F" w:rsidRDefault="00305B4F" w:rsidP="00305B4F">
      <w:pPr>
        <w:pStyle w:val="a5"/>
        <w:numPr>
          <w:ilvl w:val="0"/>
          <w:numId w:val="1"/>
        </w:numPr>
        <w:tabs>
          <w:tab w:val="left" w:pos="2093"/>
        </w:tabs>
        <w:spacing w:before="1" w:line="352" w:lineRule="auto"/>
        <w:ind w:right="704" w:firstLine="698"/>
        <w:rPr>
          <w:sz w:val="24"/>
        </w:rPr>
      </w:pPr>
      <w:r>
        <w:rPr>
          <w:sz w:val="24"/>
        </w:rPr>
        <w:t>по форме, структуре, организации легко зрительно опознаваемы и осмысливаемы слабовидящим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 восприятии 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расстоянии и вблизи: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простотой форм, тональной (цветовой) яркостью, имеют четкую детальность, выраженность и доступность различения мелких деталей и частей;</w:t>
      </w:r>
    </w:p>
    <w:p w:rsidR="00305B4F" w:rsidRDefault="00305B4F" w:rsidP="00305B4F">
      <w:pPr>
        <w:pStyle w:val="a5"/>
        <w:numPr>
          <w:ilvl w:val="0"/>
          <w:numId w:val="1"/>
        </w:numPr>
        <w:tabs>
          <w:tab w:val="left" w:pos="2093"/>
        </w:tabs>
        <w:spacing w:before="1" w:line="352" w:lineRule="auto"/>
        <w:ind w:right="706" w:firstLine="698"/>
        <w:rPr>
          <w:sz w:val="24"/>
        </w:rPr>
      </w:pPr>
      <w:r>
        <w:rPr>
          <w:sz w:val="24"/>
        </w:rPr>
        <w:t>интересны, обладают разнообразием форм и величин, исполненными в разных цветовых гаммах, из разных материалов;</w:t>
      </w:r>
    </w:p>
    <w:p w:rsidR="00305B4F" w:rsidRDefault="00305B4F" w:rsidP="00305B4F">
      <w:pPr>
        <w:pStyle w:val="a5"/>
        <w:numPr>
          <w:ilvl w:val="0"/>
          <w:numId w:val="1"/>
        </w:numPr>
        <w:tabs>
          <w:tab w:val="left" w:pos="2093"/>
        </w:tabs>
        <w:spacing w:before="2" w:line="350" w:lineRule="auto"/>
        <w:ind w:right="700" w:firstLine="698"/>
        <w:jc w:val="right"/>
        <w:rPr>
          <w:sz w:val="24"/>
        </w:rPr>
      </w:pPr>
      <w:r>
        <w:rPr>
          <w:sz w:val="24"/>
        </w:rPr>
        <w:t>доступны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осмысления,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побуждают</w:t>
      </w:r>
      <w:r>
        <w:rPr>
          <w:spacing w:val="80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активным действиям</w:t>
      </w:r>
      <w:r>
        <w:rPr>
          <w:spacing w:val="80"/>
          <w:sz w:val="24"/>
        </w:rPr>
        <w:t xml:space="preserve"> </w:t>
      </w:r>
      <w:r>
        <w:rPr>
          <w:sz w:val="24"/>
        </w:rPr>
        <w:t>(зрительная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привлекательность,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простота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формы,</w:t>
      </w:r>
      <w:r>
        <w:rPr>
          <w:spacing w:val="80"/>
          <w:sz w:val="24"/>
        </w:rPr>
        <w:t xml:space="preserve"> </w:t>
      </w:r>
      <w:r>
        <w:rPr>
          <w:sz w:val="24"/>
        </w:rPr>
        <w:t>без</w:t>
      </w:r>
      <w:r>
        <w:rPr>
          <w:spacing w:val="40"/>
          <w:sz w:val="24"/>
        </w:rPr>
        <w:t xml:space="preserve"> </w:t>
      </w:r>
      <w:r>
        <w:rPr>
          <w:sz w:val="24"/>
        </w:rPr>
        <w:t>излишней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несущих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2"/>
          <w:sz w:val="24"/>
        </w:rPr>
        <w:t xml:space="preserve"> нагрузку).</w:t>
      </w:r>
    </w:p>
    <w:p w:rsidR="00305B4F" w:rsidRDefault="00305B4F" w:rsidP="00305B4F">
      <w:pPr>
        <w:pStyle w:val="a3"/>
        <w:spacing w:before="9" w:line="352" w:lineRule="auto"/>
        <w:ind w:right="699"/>
      </w:pPr>
      <w:r>
        <w:t>Подбор материалов и оборудования группы обеспечивает слабовидящему ребенку игру разных видов: дидактическую, предметную, сюжетную, подвижную; сенсорные игры упражнения, игры-упражнения на развитие зрительно-моторной координации в системах «глаз</w:t>
      </w:r>
      <w:r>
        <w:rPr>
          <w:spacing w:val="40"/>
        </w:rPr>
        <w:t xml:space="preserve"> </w:t>
      </w:r>
      <w:r>
        <w:t>– рука», «глаз – нога».</w:t>
      </w:r>
    </w:p>
    <w:p w:rsidR="00305B4F" w:rsidRDefault="00305B4F" w:rsidP="00305B4F">
      <w:pPr>
        <w:spacing w:before="4"/>
        <w:ind w:left="1385"/>
        <w:jc w:val="both"/>
        <w:rPr>
          <w:i/>
          <w:sz w:val="24"/>
        </w:rPr>
      </w:pPr>
      <w:r>
        <w:rPr>
          <w:i/>
          <w:sz w:val="24"/>
        </w:rPr>
        <w:t>«Уголок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изобразительной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деятельности»</w:t>
      </w:r>
    </w:p>
    <w:p w:rsidR="00305B4F" w:rsidRDefault="00305B4F" w:rsidP="00305B4F">
      <w:pPr>
        <w:pStyle w:val="a3"/>
        <w:spacing w:before="134" w:line="350" w:lineRule="auto"/>
        <w:ind w:right="697"/>
        <w:sectPr w:rsidR="00305B4F">
          <w:footerReference w:type="default" r:id="rId5"/>
          <w:pgSz w:w="11906" w:h="16838"/>
          <w:pgMar w:top="620" w:right="0" w:bottom="980" w:left="600" w:header="0" w:footer="789" w:gutter="0"/>
          <w:cols w:space="720"/>
          <w:formProt w:val="0"/>
          <w:docGrid w:linePitch="100" w:charSpace="4096"/>
        </w:sectPr>
      </w:pPr>
      <w:r>
        <w:t xml:space="preserve">Материалы и оборудование для продуктивной деятельности представлены материалами для изобразительной деятельности –цветные карандаши разные по диаметру, насыщенной </w:t>
      </w:r>
      <w:r>
        <w:lastRenderedPageBreak/>
        <w:t>тональности;</w:t>
      </w:r>
      <w:r>
        <w:rPr>
          <w:spacing w:val="26"/>
        </w:rPr>
        <w:t xml:space="preserve">  </w:t>
      </w:r>
      <w:r>
        <w:t>фломастеры,</w:t>
      </w:r>
      <w:r>
        <w:rPr>
          <w:spacing w:val="25"/>
        </w:rPr>
        <w:t xml:space="preserve">  </w:t>
      </w:r>
      <w:r>
        <w:t>краски,</w:t>
      </w:r>
      <w:r>
        <w:rPr>
          <w:spacing w:val="26"/>
        </w:rPr>
        <w:t xml:space="preserve">  </w:t>
      </w:r>
      <w:r>
        <w:t>цветные</w:t>
      </w:r>
      <w:r>
        <w:rPr>
          <w:spacing w:val="27"/>
        </w:rPr>
        <w:t xml:space="preserve">  </w:t>
      </w:r>
      <w:r>
        <w:t>мелки;</w:t>
      </w:r>
      <w:r>
        <w:rPr>
          <w:spacing w:val="26"/>
        </w:rPr>
        <w:t xml:space="preserve">  </w:t>
      </w:r>
      <w:r>
        <w:t>особого</w:t>
      </w:r>
      <w:r>
        <w:rPr>
          <w:spacing w:val="27"/>
        </w:rPr>
        <w:t xml:space="preserve">  </w:t>
      </w:r>
      <w:r>
        <w:t>рода</w:t>
      </w:r>
      <w:r>
        <w:rPr>
          <w:spacing w:val="25"/>
        </w:rPr>
        <w:t xml:space="preserve">  </w:t>
      </w:r>
      <w:r>
        <w:t>заготовки</w:t>
      </w:r>
      <w:r>
        <w:rPr>
          <w:spacing w:val="27"/>
        </w:rPr>
        <w:t xml:space="preserve">  </w:t>
      </w:r>
      <w:r>
        <w:rPr>
          <w:spacing w:val="-2"/>
        </w:rPr>
        <w:t>(предметные</w:t>
      </w:r>
    </w:p>
    <w:p w:rsidR="00305B4F" w:rsidRDefault="00305B4F" w:rsidP="00305B4F">
      <w:pPr>
        <w:pStyle w:val="a3"/>
        <w:spacing w:before="61" w:line="352" w:lineRule="auto"/>
        <w:ind w:right="700" w:firstLine="0"/>
      </w:pPr>
      <w:r>
        <w:lastRenderedPageBreak/>
        <w:t>форменные трафареты для воспроизведения на них деталей и частей, трафареты для обводки др.), для лепки, для аппликации (плотная фактурная бумага, фактурные ткани, природные объекты), для конструирования (напольный строительный конструктор, мозаики, деревянные вкладыши и др.).</w:t>
      </w:r>
    </w:p>
    <w:p w:rsidR="00305B4F" w:rsidRDefault="00305B4F" w:rsidP="00305B4F">
      <w:pPr>
        <w:spacing w:before="4"/>
        <w:ind w:left="1385"/>
        <w:jc w:val="both"/>
        <w:rPr>
          <w:i/>
          <w:sz w:val="24"/>
        </w:rPr>
      </w:pPr>
      <w:r>
        <w:rPr>
          <w:i/>
          <w:sz w:val="24"/>
        </w:rPr>
        <w:t>«Книжный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уголок»</w:t>
      </w:r>
    </w:p>
    <w:p w:rsidR="00305B4F" w:rsidRDefault="00305B4F" w:rsidP="00305B4F">
      <w:pPr>
        <w:pStyle w:val="a3"/>
        <w:spacing w:before="134" w:line="352" w:lineRule="auto"/>
        <w:ind w:right="702"/>
      </w:pPr>
      <w:r>
        <w:t>Наполнен интересным для рассматривания и привлекательным для зрения печатным материалом:</w:t>
      </w:r>
      <w:r>
        <w:rPr>
          <w:spacing w:val="-1"/>
        </w:rPr>
        <w:t xml:space="preserve"> </w:t>
      </w:r>
      <w:r>
        <w:t>книжками</w:t>
      </w:r>
      <w:r>
        <w:rPr>
          <w:spacing w:val="-2"/>
        </w:rPr>
        <w:t xml:space="preserve"> </w:t>
      </w:r>
      <w:r>
        <w:t>(книжки-картинки,</w:t>
      </w:r>
      <w:r>
        <w:rPr>
          <w:spacing w:val="-1"/>
        </w:rPr>
        <w:t xml:space="preserve"> </w:t>
      </w:r>
      <w:r>
        <w:t>иллюстрированные</w:t>
      </w:r>
      <w:r>
        <w:rPr>
          <w:spacing w:val="-2"/>
        </w:rPr>
        <w:t xml:space="preserve"> </w:t>
      </w:r>
      <w:r>
        <w:t>книжки детской</w:t>
      </w:r>
      <w:r>
        <w:rPr>
          <w:spacing w:val="-2"/>
        </w:rPr>
        <w:t xml:space="preserve"> </w:t>
      </w:r>
      <w:r>
        <w:t>художественной литературы, иллюстрированные книжки познавательной направленности; отдельные иллюстративные материалы –картинки, и др.).</w:t>
      </w:r>
    </w:p>
    <w:p w:rsidR="00305B4F" w:rsidRDefault="00305B4F" w:rsidP="00305B4F">
      <w:pPr>
        <w:spacing w:line="274" w:lineRule="exact"/>
        <w:ind w:left="1385"/>
        <w:jc w:val="both"/>
        <w:rPr>
          <w:sz w:val="24"/>
        </w:rPr>
      </w:pPr>
      <w:r>
        <w:rPr>
          <w:i/>
          <w:sz w:val="24"/>
        </w:rPr>
        <w:t>«Уголок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развивающих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игр»</w:t>
      </w:r>
      <w:r>
        <w:rPr>
          <w:i/>
          <w:spacing w:val="-2"/>
          <w:sz w:val="24"/>
        </w:rPr>
        <w:t xml:space="preserve"> </w:t>
      </w:r>
      <w:r>
        <w:rPr>
          <w:spacing w:val="-2"/>
          <w:sz w:val="24"/>
        </w:rPr>
        <w:t>наполнен:</w:t>
      </w:r>
    </w:p>
    <w:p w:rsidR="00305B4F" w:rsidRDefault="00305B4F" w:rsidP="00305B4F">
      <w:pPr>
        <w:pStyle w:val="a3"/>
        <w:spacing w:before="135" w:line="352" w:lineRule="auto"/>
        <w:ind w:right="700"/>
      </w:pPr>
      <w:r>
        <w:t xml:space="preserve">материалы – объекты исследования в реальном времени для сенсорного развития: объемные геометрические тела (монотонные и разноцветные); наборы геометрических фигур; вкладыши-формы; наборы образцов (эталонов) по модальностям ощущений; объекты для локализации, сличения, идентификации, соотнесения, </w:t>
      </w:r>
      <w:proofErr w:type="spellStart"/>
      <w:r>
        <w:t>сериации</w:t>
      </w:r>
      <w:proofErr w:type="spellEnd"/>
      <w:r>
        <w:t xml:space="preserve"> (по величине, форме, цвету, материалу) и др.; природные объекты (природный материал); искусственно созданные материалы для развития мелкой моторики рук (мозаика, объекты для нанизывания, шнуровки и др.) с актуализацией зрительных впечатлений, в процессе действий с которыми ребенок может расширить представления о свойствах предметов, материалов, обогатить ощущения и восприятие. Мелкие предметы различной формы для сортировки, обучению счету, развития мелкой моторики. Группа образно символического материала представлена специальными наглядными пособиями, репрезентирующими слабовидящим детям мир вещей и событий: модели, предметные картинки, «дидактические пособия».</w:t>
      </w:r>
    </w:p>
    <w:p w:rsidR="00305B4F" w:rsidRDefault="00305B4F" w:rsidP="00305B4F">
      <w:pPr>
        <w:spacing w:line="269" w:lineRule="exact"/>
        <w:ind w:left="1385"/>
        <w:jc w:val="both"/>
        <w:rPr>
          <w:i/>
          <w:sz w:val="24"/>
        </w:rPr>
      </w:pPr>
      <w:r>
        <w:rPr>
          <w:i/>
          <w:sz w:val="24"/>
        </w:rPr>
        <w:t>«Физкультурный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уголок»</w:t>
      </w:r>
    </w:p>
    <w:p w:rsidR="00305B4F" w:rsidRDefault="00305B4F" w:rsidP="00305B4F">
      <w:pPr>
        <w:pStyle w:val="a3"/>
        <w:spacing w:before="135" w:line="352" w:lineRule="auto"/>
        <w:ind w:right="698"/>
      </w:pPr>
      <w:r>
        <w:t>Материалы и оборудование для двигательной активности включают предметы для упражнений в равновесии, координации движений, развития моторики рук, в т. ч. мелкой моторики; для катания и бросания; оборудование для ходьбы с преодолением препятствий; массажные коврики, мячи, ребристые дорожки; объемные фактурные мягкие модули и др. Материалы и оборудование ярких тонов (цветов), находятся в местах доступных и безопасных для организации собственной двигательной деятельности ребенка.</w:t>
      </w:r>
    </w:p>
    <w:p w:rsidR="00305B4F" w:rsidRDefault="00305B4F" w:rsidP="00305B4F">
      <w:pPr>
        <w:pStyle w:val="a3"/>
        <w:spacing w:line="352" w:lineRule="auto"/>
        <w:ind w:right="704"/>
      </w:pPr>
      <w:r>
        <w:lastRenderedPageBreak/>
        <w:t xml:space="preserve">Оборудование общего назначения включает аудиоаппаратуру, магнитную доску для совместной деятельности по выкладыванию, доска для рисования мелом, маркером, </w:t>
      </w:r>
      <w:proofErr w:type="spellStart"/>
      <w:r>
        <w:rPr>
          <w:spacing w:val="-2"/>
        </w:rPr>
        <w:t>фланелеграф</w:t>
      </w:r>
      <w:proofErr w:type="spellEnd"/>
      <w:r>
        <w:rPr>
          <w:spacing w:val="-2"/>
        </w:rPr>
        <w:t>.</w:t>
      </w:r>
    </w:p>
    <w:p w:rsidR="00305B4F" w:rsidRDefault="00305B4F" w:rsidP="00305B4F">
      <w:pPr>
        <w:pStyle w:val="a3"/>
        <w:spacing w:line="352" w:lineRule="auto"/>
        <w:ind w:right="702"/>
      </w:pPr>
      <w:r>
        <w:t>Стенды и другие предметы, размещаемые на стенах и не предназначенные для использования ребенком расположены выше 130 см от пола, чтобы слабовидящий ребенок избежал столкновения с ними.</w:t>
      </w:r>
    </w:p>
    <w:p w:rsidR="00305B4F" w:rsidRDefault="00305B4F" w:rsidP="00305B4F">
      <w:pPr>
        <w:pStyle w:val="a3"/>
        <w:ind w:left="1812" w:firstLine="0"/>
      </w:pPr>
      <w:r>
        <w:t>Углы</w:t>
      </w:r>
      <w:r>
        <w:rPr>
          <w:spacing w:val="-4"/>
        </w:rPr>
        <w:t xml:space="preserve"> </w:t>
      </w:r>
      <w:r>
        <w:t>ковров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 музыкальном</w:t>
      </w:r>
      <w:r>
        <w:rPr>
          <w:spacing w:val="-2"/>
        </w:rPr>
        <w:t xml:space="preserve"> </w:t>
      </w:r>
      <w:r>
        <w:t>зале</w:t>
      </w:r>
      <w:r>
        <w:rPr>
          <w:spacing w:val="-3"/>
        </w:rPr>
        <w:t xml:space="preserve"> </w:t>
      </w:r>
      <w:r>
        <w:t>ровные -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загибаются</w:t>
      </w:r>
      <w:r>
        <w:rPr>
          <w:spacing w:val="-2"/>
        </w:rPr>
        <w:t xml:space="preserve"> </w:t>
      </w:r>
      <w:r>
        <w:t>и не</w:t>
      </w:r>
      <w:r>
        <w:rPr>
          <w:spacing w:val="56"/>
        </w:rPr>
        <w:t xml:space="preserve"> </w:t>
      </w:r>
      <w:r>
        <w:rPr>
          <w:spacing w:val="-2"/>
        </w:rPr>
        <w:t>скатываются.</w:t>
      </w:r>
    </w:p>
    <w:p w:rsidR="00CA3BA2" w:rsidRDefault="00CA3BA2"/>
    <w:sectPr w:rsidR="00CA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13" w:rsidRDefault="00305B4F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3853180</wp:posOffset>
              </wp:positionH>
              <wp:positionV relativeFrom="page">
                <wp:posOffset>10052050</wp:posOffset>
              </wp:positionV>
              <wp:extent cx="228600" cy="180340"/>
              <wp:effectExtent l="0" t="3175" r="4445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D13" w:rsidRDefault="00305B4F">
                          <w:pPr>
                            <w:pStyle w:val="a6"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303.4pt;margin-top:791.5pt;width:18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" filled="f" stroked="f" strokecolor="#3465a4">
              <v:stroke joinstyle="round"/>
              <v:textbox>
                <w:txbxContent>
                  <w:p w:rsidR="00E57D13" w:rsidRDefault="00305B4F">
                    <w:pPr>
                      <w:pStyle w:val="a6"/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C28"/>
    <w:multiLevelType w:val="multilevel"/>
    <w:tmpl w:val="06205AE0"/>
    <w:lvl w:ilvl="0">
      <w:start w:val="1"/>
      <w:numFmt w:val="decimal"/>
      <w:lvlText w:val="%1."/>
      <w:lvlJc w:val="left"/>
      <w:pPr>
        <w:tabs>
          <w:tab w:val="num" w:pos="0"/>
        </w:tabs>
        <w:ind w:left="4988" w:hanging="24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90" w:hanging="420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85" w:hanging="42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50" w:hanging="42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tabs>
          <w:tab w:val="num" w:pos="0"/>
        </w:tabs>
        <w:ind w:left="1385" w:hanging="42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60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980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61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3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29030160"/>
    <w:multiLevelType w:val="multilevel"/>
    <w:tmpl w:val="B6C8CE66"/>
    <w:lvl w:ilvl="0">
      <w:numFmt w:val="bullet"/>
      <w:lvlText w:val="-"/>
      <w:lvlJc w:val="left"/>
      <w:pPr>
        <w:tabs>
          <w:tab w:val="num" w:pos="0"/>
        </w:tabs>
        <w:ind w:left="677" w:hanging="71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71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5" w:hanging="71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7" w:hanging="71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30" w:hanging="71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93" w:hanging="71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55" w:hanging="71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18" w:hanging="71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1" w:hanging="71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5D"/>
    <w:rsid w:val="00305B4F"/>
    <w:rsid w:val="00CA3BA2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F88A5"/>
  <w15:chartTrackingRefBased/>
  <w15:docId w15:val="{2A52EFD9-FB53-4868-B1EF-59DA6EC3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5B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uiPriority w:val="1"/>
    <w:qFormat/>
    <w:rsid w:val="00305B4F"/>
    <w:pPr>
      <w:ind w:left="1370"/>
      <w:jc w:val="both"/>
      <w:outlineLvl w:val="3"/>
    </w:pPr>
    <w:rPr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05B4F"/>
    <w:pPr>
      <w:ind w:left="662" w:firstLine="69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05B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05B4F"/>
    <w:pPr>
      <w:ind w:left="677" w:firstLine="698"/>
      <w:jc w:val="both"/>
    </w:pPr>
  </w:style>
  <w:style w:type="paragraph" w:customStyle="1" w:styleId="a6">
    <w:name w:val="Содержимое врезки"/>
    <w:basedOn w:val="a"/>
    <w:qFormat/>
    <w:rsid w:val="0030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2025-03-13T11:37:00Z</dcterms:created>
  <dcterms:modified xsi:type="dcterms:W3CDTF">2025-03-13T11:38:00Z</dcterms:modified>
</cp:coreProperties>
</file>